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7" w:lineRule="auto"/>
        <w:ind w:left="1316" w:firstLine="0"/>
      </w:pPr>
      <w:r>
        <w:rPr/>
        <w:drawing>
          <wp:anchor distT="0" distB="0" distL="0" distR="0" allowOverlap="1" layoutInCell="1" locked="0" behindDoc="1" simplePos="0" relativeHeight="268430111">
            <wp:simplePos x="0" y="0"/>
            <wp:positionH relativeFrom="page">
              <wp:posOffset>7329</wp:posOffset>
            </wp:positionH>
            <wp:positionV relativeFrom="page">
              <wp:posOffset>7341</wp:posOffset>
            </wp:positionV>
            <wp:extent cx="7768665" cy="10900662"/>
            <wp:effectExtent l="0" t="0" r="0" b="0"/>
            <wp:wrapNone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8665" cy="10900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5.749001pt;margin-top:374.174011pt;width:526.550pt;height:402.7pt;mso-position-horizontal-relative:page;mso-position-vertical-relative:page;z-index:1096" coordorigin="1715,7483" coordsize="10531,8054">
            <v:shape style="position:absolute;left:6888;top:9590;width:5358;height:5948" type="#_x0000_t75" stroked="false">
              <v:imagedata r:id="rId6" o:title=""/>
            </v:shape>
            <v:rect style="position:absolute;left:1998;top:7872;width:8489;height:7359" filled="true" fillcolor="#231f20" stroked="false">
              <v:fill opacity="26214f" type="solid"/>
            </v:rect>
            <v:shape style="position:absolute;left:1714;top:7483;width:8674;height:7305" type="#_x0000_t75" stroked="false">
              <v:imagedata r:id="rId7" o:title=""/>
            </v:shape>
            <w10:wrap type="none"/>
          </v:group>
        </w:pict>
      </w:r>
      <w:r>
        <w:rPr>
          <w:color w:val="231F20"/>
          <w:spacing w:val="-16"/>
        </w:rPr>
        <w:t>АНАЛИТИЧЕСКИЙ </w:t>
      </w:r>
      <w:r>
        <w:rPr>
          <w:color w:val="231F20"/>
          <w:spacing w:val="-13"/>
        </w:rPr>
        <w:t>ТЕСТ </w:t>
      </w:r>
      <w:r>
        <w:rPr>
          <w:color w:val="231F20"/>
          <w:spacing w:val="-12"/>
        </w:rPr>
        <w:t>ДЛЯ </w:t>
      </w:r>
      <w:r>
        <w:rPr>
          <w:color w:val="231F20"/>
          <w:spacing w:val="-16"/>
          <w:w w:val="95"/>
        </w:rPr>
        <w:t>ИДЕНТИФИКАЦИИ НАРКОТИЧЕСКИХ </w:t>
      </w:r>
      <w:r>
        <w:rPr>
          <w:color w:val="231F20"/>
          <w:spacing w:val="-15"/>
        </w:rPr>
        <w:t>ВЕЩЕСТВ</w:t>
      </w:r>
    </w:p>
    <w:p>
      <w:pPr>
        <w:pStyle w:val="BodyText"/>
        <w:rPr>
          <w:rFonts w:ascii="DejaVu Sans"/>
          <w:b/>
          <w:sz w:val="20"/>
        </w:rPr>
      </w:pPr>
    </w:p>
    <w:p>
      <w:pPr>
        <w:pStyle w:val="BodyText"/>
        <w:rPr>
          <w:rFonts w:ascii="DejaVu Sans"/>
          <w:b/>
          <w:sz w:val="20"/>
        </w:rPr>
      </w:pPr>
    </w:p>
    <w:p>
      <w:pPr>
        <w:pStyle w:val="BodyText"/>
        <w:rPr>
          <w:rFonts w:ascii="DejaVu Sans"/>
          <w:b/>
          <w:sz w:val="20"/>
        </w:rPr>
      </w:pPr>
    </w:p>
    <w:p>
      <w:pPr>
        <w:pStyle w:val="BodyText"/>
        <w:rPr>
          <w:rFonts w:ascii="DejaVu Sans"/>
          <w:b/>
          <w:sz w:val="20"/>
        </w:rPr>
      </w:pPr>
    </w:p>
    <w:p>
      <w:pPr>
        <w:pStyle w:val="BodyText"/>
        <w:spacing w:before="6"/>
        <w:rPr>
          <w:rFonts w:ascii="DejaVu Sans"/>
          <w:b/>
          <w:sz w:val="21"/>
        </w:rPr>
      </w:pPr>
      <w:r>
        <w:rPr/>
        <w:drawing>
          <wp:anchor distT="0" distB="0" distL="0" distR="0" allowOverlap="1" layoutInCell="1" locked="0" behindDoc="1" simplePos="0" relativeHeight="268434431">
            <wp:simplePos x="0" y="0"/>
            <wp:positionH relativeFrom="page">
              <wp:posOffset>1594092</wp:posOffset>
            </wp:positionH>
            <wp:positionV relativeFrom="paragraph">
              <wp:posOffset>183902</wp:posOffset>
            </wp:positionV>
            <wp:extent cx="4602480" cy="713231"/>
            <wp:effectExtent l="0" t="0" r="0" b="0"/>
            <wp:wrapTopAndBottom/>
            <wp:docPr id="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480" cy="713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DejaVu Sans"/>
          <w:b/>
          <w:sz w:val="20"/>
        </w:rPr>
      </w:pPr>
    </w:p>
    <w:p>
      <w:pPr>
        <w:pStyle w:val="BodyText"/>
        <w:rPr>
          <w:rFonts w:ascii="DejaVu Sans"/>
          <w:b/>
          <w:sz w:val="20"/>
        </w:rPr>
      </w:pPr>
    </w:p>
    <w:p>
      <w:pPr>
        <w:pStyle w:val="BodyText"/>
        <w:rPr>
          <w:rFonts w:ascii="DejaVu Sans"/>
          <w:b/>
          <w:sz w:val="20"/>
        </w:rPr>
      </w:pPr>
    </w:p>
    <w:p>
      <w:pPr>
        <w:pStyle w:val="BodyText"/>
        <w:rPr>
          <w:rFonts w:ascii="DejaVu Sans"/>
          <w:b/>
          <w:sz w:val="20"/>
        </w:rPr>
      </w:pPr>
    </w:p>
    <w:p>
      <w:pPr>
        <w:pStyle w:val="BodyText"/>
        <w:rPr>
          <w:rFonts w:ascii="DejaVu Sans"/>
          <w:b/>
          <w:sz w:val="20"/>
        </w:rPr>
      </w:pPr>
    </w:p>
    <w:p>
      <w:pPr>
        <w:pStyle w:val="BodyText"/>
        <w:rPr>
          <w:rFonts w:ascii="DejaVu Sans"/>
          <w:b/>
          <w:sz w:val="20"/>
        </w:rPr>
      </w:pPr>
    </w:p>
    <w:p>
      <w:pPr>
        <w:pStyle w:val="BodyText"/>
        <w:rPr>
          <w:rFonts w:ascii="DejaVu Sans"/>
          <w:b/>
          <w:sz w:val="20"/>
        </w:rPr>
      </w:pPr>
    </w:p>
    <w:p>
      <w:pPr>
        <w:pStyle w:val="BodyText"/>
        <w:rPr>
          <w:rFonts w:ascii="DejaVu Sans"/>
          <w:b/>
          <w:sz w:val="20"/>
        </w:rPr>
      </w:pPr>
    </w:p>
    <w:p>
      <w:pPr>
        <w:pStyle w:val="BodyText"/>
        <w:rPr>
          <w:rFonts w:ascii="DejaVu Sans"/>
          <w:b/>
          <w:sz w:val="20"/>
        </w:rPr>
      </w:pPr>
    </w:p>
    <w:p>
      <w:pPr>
        <w:pStyle w:val="BodyText"/>
        <w:rPr>
          <w:rFonts w:ascii="DejaVu Sans"/>
          <w:b/>
          <w:sz w:val="20"/>
        </w:rPr>
      </w:pPr>
    </w:p>
    <w:p>
      <w:pPr>
        <w:pStyle w:val="BodyText"/>
        <w:rPr>
          <w:rFonts w:ascii="DejaVu Sans"/>
          <w:b/>
          <w:sz w:val="20"/>
        </w:rPr>
      </w:pPr>
    </w:p>
    <w:p>
      <w:pPr>
        <w:pStyle w:val="BodyText"/>
        <w:rPr>
          <w:rFonts w:ascii="DejaVu Sans"/>
          <w:b/>
          <w:sz w:val="20"/>
        </w:rPr>
      </w:pPr>
    </w:p>
    <w:p>
      <w:pPr>
        <w:pStyle w:val="BodyText"/>
        <w:rPr>
          <w:rFonts w:ascii="DejaVu Sans"/>
          <w:b/>
          <w:sz w:val="20"/>
        </w:rPr>
      </w:pPr>
    </w:p>
    <w:p>
      <w:pPr>
        <w:pStyle w:val="BodyText"/>
        <w:rPr>
          <w:rFonts w:ascii="DejaVu Sans"/>
          <w:b/>
          <w:sz w:val="20"/>
        </w:rPr>
      </w:pPr>
    </w:p>
    <w:p>
      <w:pPr>
        <w:pStyle w:val="BodyText"/>
        <w:rPr>
          <w:rFonts w:ascii="DejaVu Sans"/>
          <w:b/>
          <w:sz w:val="20"/>
        </w:rPr>
      </w:pPr>
    </w:p>
    <w:p>
      <w:pPr>
        <w:pStyle w:val="BodyText"/>
        <w:rPr>
          <w:rFonts w:ascii="DejaVu Sans"/>
          <w:b/>
          <w:sz w:val="20"/>
        </w:rPr>
      </w:pPr>
    </w:p>
    <w:p>
      <w:pPr>
        <w:pStyle w:val="BodyText"/>
        <w:rPr>
          <w:rFonts w:ascii="DejaVu Sans"/>
          <w:b/>
          <w:sz w:val="20"/>
        </w:rPr>
      </w:pPr>
    </w:p>
    <w:p>
      <w:pPr>
        <w:pStyle w:val="BodyText"/>
        <w:rPr>
          <w:rFonts w:ascii="DejaVu Sans"/>
          <w:b/>
          <w:sz w:val="20"/>
        </w:rPr>
      </w:pPr>
    </w:p>
    <w:p>
      <w:pPr>
        <w:pStyle w:val="BodyText"/>
        <w:rPr>
          <w:rFonts w:ascii="DejaVu Sans"/>
          <w:b/>
          <w:sz w:val="20"/>
        </w:rPr>
      </w:pPr>
    </w:p>
    <w:p>
      <w:pPr>
        <w:pStyle w:val="BodyText"/>
        <w:rPr>
          <w:rFonts w:ascii="DejaVu Sans"/>
          <w:b/>
          <w:sz w:val="20"/>
        </w:rPr>
      </w:pPr>
    </w:p>
    <w:p>
      <w:pPr>
        <w:pStyle w:val="BodyText"/>
        <w:rPr>
          <w:rFonts w:ascii="DejaVu Sans"/>
          <w:b/>
          <w:sz w:val="20"/>
        </w:rPr>
      </w:pPr>
    </w:p>
    <w:p>
      <w:pPr>
        <w:pStyle w:val="BodyText"/>
        <w:rPr>
          <w:rFonts w:ascii="DejaVu Sans"/>
          <w:b/>
          <w:sz w:val="20"/>
        </w:rPr>
      </w:pPr>
    </w:p>
    <w:p>
      <w:pPr>
        <w:pStyle w:val="BodyText"/>
        <w:rPr>
          <w:rFonts w:ascii="DejaVu Sans"/>
          <w:b/>
          <w:sz w:val="20"/>
        </w:rPr>
      </w:pPr>
    </w:p>
    <w:p>
      <w:pPr>
        <w:pStyle w:val="BodyText"/>
        <w:rPr>
          <w:rFonts w:ascii="DejaVu Sans"/>
          <w:b/>
          <w:sz w:val="20"/>
        </w:rPr>
      </w:pPr>
    </w:p>
    <w:p>
      <w:pPr>
        <w:pStyle w:val="BodyText"/>
        <w:rPr>
          <w:rFonts w:ascii="DejaVu Sans"/>
          <w:b/>
          <w:sz w:val="20"/>
        </w:rPr>
      </w:pPr>
    </w:p>
    <w:p>
      <w:pPr>
        <w:pStyle w:val="BodyText"/>
        <w:rPr>
          <w:rFonts w:ascii="DejaVu Sans"/>
          <w:b/>
          <w:sz w:val="20"/>
        </w:rPr>
      </w:pPr>
    </w:p>
    <w:p>
      <w:pPr>
        <w:pStyle w:val="BodyText"/>
        <w:rPr>
          <w:rFonts w:ascii="DejaVu Sans"/>
          <w:b/>
          <w:sz w:val="20"/>
        </w:rPr>
      </w:pPr>
    </w:p>
    <w:p>
      <w:pPr>
        <w:pStyle w:val="BodyText"/>
        <w:rPr>
          <w:rFonts w:ascii="DejaVu Sans"/>
          <w:b/>
          <w:sz w:val="20"/>
        </w:rPr>
      </w:pPr>
    </w:p>
    <w:p>
      <w:pPr>
        <w:pStyle w:val="BodyText"/>
        <w:rPr>
          <w:rFonts w:ascii="DejaVu Sans"/>
          <w:b/>
          <w:sz w:val="20"/>
        </w:rPr>
      </w:pPr>
    </w:p>
    <w:p>
      <w:pPr>
        <w:pStyle w:val="BodyText"/>
        <w:rPr>
          <w:rFonts w:ascii="DejaVu Sans"/>
          <w:b/>
          <w:sz w:val="20"/>
        </w:rPr>
      </w:pPr>
    </w:p>
    <w:p>
      <w:pPr>
        <w:pStyle w:val="BodyText"/>
        <w:rPr>
          <w:rFonts w:ascii="DejaVu Sans"/>
          <w:b/>
          <w:sz w:val="20"/>
        </w:rPr>
      </w:pPr>
    </w:p>
    <w:p>
      <w:pPr>
        <w:pStyle w:val="BodyText"/>
        <w:rPr>
          <w:rFonts w:ascii="DejaVu Sans"/>
          <w:b/>
          <w:sz w:val="20"/>
        </w:rPr>
      </w:pPr>
    </w:p>
    <w:p>
      <w:pPr>
        <w:pStyle w:val="BodyText"/>
        <w:rPr>
          <w:rFonts w:ascii="DejaVu Sans"/>
          <w:b/>
          <w:sz w:val="20"/>
        </w:rPr>
      </w:pPr>
    </w:p>
    <w:p>
      <w:pPr>
        <w:pStyle w:val="BodyText"/>
        <w:rPr>
          <w:rFonts w:ascii="DejaVu Sans"/>
          <w:b/>
          <w:sz w:val="20"/>
        </w:rPr>
      </w:pPr>
    </w:p>
    <w:p>
      <w:pPr>
        <w:pStyle w:val="BodyText"/>
        <w:rPr>
          <w:rFonts w:ascii="DejaVu Sans"/>
          <w:b/>
          <w:sz w:val="20"/>
        </w:rPr>
      </w:pPr>
    </w:p>
    <w:p>
      <w:pPr>
        <w:pStyle w:val="BodyText"/>
        <w:rPr>
          <w:rFonts w:ascii="DejaVu Sans"/>
          <w:b/>
          <w:sz w:val="20"/>
        </w:rPr>
      </w:pPr>
    </w:p>
    <w:p>
      <w:pPr>
        <w:pStyle w:val="BodyText"/>
        <w:rPr>
          <w:rFonts w:ascii="DejaVu Sans"/>
          <w:b/>
          <w:sz w:val="20"/>
        </w:rPr>
      </w:pPr>
    </w:p>
    <w:p>
      <w:pPr>
        <w:pStyle w:val="BodyText"/>
        <w:rPr>
          <w:rFonts w:ascii="DejaVu Sans"/>
          <w:b/>
          <w:sz w:val="20"/>
        </w:rPr>
      </w:pPr>
    </w:p>
    <w:p>
      <w:pPr>
        <w:pStyle w:val="BodyText"/>
        <w:rPr>
          <w:rFonts w:ascii="DejaVu Sans"/>
          <w:b/>
          <w:sz w:val="20"/>
        </w:rPr>
      </w:pPr>
    </w:p>
    <w:p>
      <w:pPr>
        <w:pStyle w:val="BodyText"/>
        <w:rPr>
          <w:rFonts w:ascii="DejaVu Sans"/>
          <w:b/>
          <w:sz w:val="20"/>
        </w:rPr>
      </w:pPr>
    </w:p>
    <w:p>
      <w:pPr>
        <w:pStyle w:val="BodyText"/>
        <w:rPr>
          <w:rFonts w:ascii="DejaVu Sans"/>
          <w:b/>
          <w:sz w:val="20"/>
        </w:rPr>
      </w:pPr>
    </w:p>
    <w:p>
      <w:pPr>
        <w:pStyle w:val="BodyText"/>
        <w:rPr>
          <w:rFonts w:ascii="DejaVu Sans"/>
          <w:b/>
          <w:sz w:val="20"/>
        </w:rPr>
      </w:pPr>
    </w:p>
    <w:p>
      <w:pPr>
        <w:pStyle w:val="BodyText"/>
        <w:rPr>
          <w:rFonts w:ascii="DejaVu Sans"/>
          <w:b/>
          <w:sz w:val="20"/>
        </w:rPr>
      </w:pPr>
    </w:p>
    <w:p>
      <w:pPr>
        <w:pStyle w:val="BodyText"/>
        <w:rPr>
          <w:rFonts w:ascii="DejaVu Sans"/>
          <w:b/>
          <w:sz w:val="20"/>
        </w:rPr>
      </w:pPr>
    </w:p>
    <w:p>
      <w:pPr>
        <w:pStyle w:val="BodyText"/>
        <w:rPr>
          <w:rFonts w:ascii="DejaVu Sans"/>
          <w:b/>
          <w:sz w:val="20"/>
        </w:rPr>
      </w:pPr>
    </w:p>
    <w:p>
      <w:pPr>
        <w:pStyle w:val="BodyText"/>
        <w:spacing w:before="5"/>
        <w:rPr>
          <w:rFonts w:ascii="DejaVu Sans"/>
          <w:b/>
          <w:sz w:val="28"/>
        </w:rPr>
      </w:pPr>
      <w:r>
        <w:rPr/>
        <w:drawing>
          <wp:anchor distT="0" distB="0" distL="0" distR="0" allowOverlap="1" layoutInCell="1" locked="0" behindDoc="1" simplePos="0" relativeHeight="268434455">
            <wp:simplePos x="0" y="0"/>
            <wp:positionH relativeFrom="page">
              <wp:posOffset>696252</wp:posOffset>
            </wp:positionH>
            <wp:positionV relativeFrom="paragraph">
              <wp:posOffset>235342</wp:posOffset>
            </wp:positionV>
            <wp:extent cx="6442897" cy="735234"/>
            <wp:effectExtent l="0" t="0" r="0" b="0"/>
            <wp:wrapTopAndBottom/>
            <wp:docPr id="5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2897" cy="735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DejaVu Sans"/>
          <w:sz w:val="28"/>
        </w:rPr>
        <w:sectPr>
          <w:type w:val="continuous"/>
          <w:pgSz w:w="12250" w:h="17180"/>
          <w:pgMar w:top="840" w:bottom="0" w:left="580" w:right="340"/>
        </w:sectPr>
      </w:pPr>
    </w:p>
    <w:p>
      <w:pPr>
        <w:spacing w:line="247" w:lineRule="auto" w:before="87"/>
        <w:ind w:left="1305" w:right="1558" w:hanging="1"/>
        <w:jc w:val="center"/>
        <w:rPr>
          <w:rFonts w:ascii="DejaVu Sans" w:hAnsi="DejaVu Sans"/>
          <w:b/>
          <w:sz w:val="44"/>
        </w:rPr>
      </w:pPr>
      <w:r>
        <w:rPr/>
        <w:drawing>
          <wp:anchor distT="0" distB="0" distL="0" distR="0" allowOverlap="1" layoutInCell="1" locked="0" behindDoc="1" simplePos="0" relativeHeight="268430303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7775993" cy="10907991"/>
            <wp:effectExtent l="0" t="0" r="0" b="0"/>
            <wp:wrapNone/>
            <wp:docPr id="7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5993" cy="10907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80.080009pt;width:612.3pt;height:383.65pt;mso-position-horizontal-relative:page;mso-position-vertical-relative:page;z-index:-5128" coordorigin="0,1602" coordsize="12246,7673">
            <v:shape style="position:absolute;left:0;top:1601;width:12246;height:7673" type="#_x0000_t75" stroked="false">
              <v:imagedata r:id="rId11" o:title=""/>
            </v:shape>
            <v:shape style="position:absolute;left:2498;top:2170;width:7248;height:1124" type="#_x0000_t75" stroked="false">
              <v:imagedata r:id="rId8" o:title=""/>
            </v:shape>
            <w10:wrap type="none"/>
          </v:group>
        </w:pict>
      </w:r>
      <w:r>
        <w:rPr>
          <w:rFonts w:ascii="DejaVu Sans" w:hAnsi="DejaVu Sans"/>
          <w:b/>
          <w:color w:val="231F20"/>
          <w:spacing w:val="-16"/>
          <w:sz w:val="44"/>
        </w:rPr>
        <w:t>АНАЛИТИЧЕСКИЙ </w:t>
      </w:r>
      <w:r>
        <w:rPr>
          <w:rFonts w:ascii="DejaVu Sans" w:hAnsi="DejaVu Sans"/>
          <w:b/>
          <w:color w:val="231F20"/>
          <w:spacing w:val="-13"/>
          <w:sz w:val="44"/>
        </w:rPr>
        <w:t>ТЕСТ </w:t>
      </w:r>
      <w:r>
        <w:rPr>
          <w:rFonts w:ascii="DejaVu Sans" w:hAnsi="DejaVu Sans"/>
          <w:b/>
          <w:color w:val="231F20"/>
          <w:spacing w:val="-17"/>
          <w:sz w:val="44"/>
        </w:rPr>
        <w:t>ДЛЯ </w:t>
      </w:r>
      <w:r>
        <w:rPr>
          <w:rFonts w:ascii="DejaVu Sans" w:hAnsi="DejaVu Sans"/>
          <w:b/>
          <w:color w:val="231F20"/>
          <w:spacing w:val="-16"/>
          <w:w w:val="95"/>
          <w:sz w:val="44"/>
        </w:rPr>
        <w:t>ИДЕНТИФИКАЦИИ </w:t>
      </w:r>
      <w:r>
        <w:rPr>
          <w:rFonts w:ascii="DejaVu Sans" w:hAnsi="DejaVu Sans"/>
          <w:b/>
          <w:color w:val="231F20"/>
          <w:spacing w:val="-17"/>
          <w:w w:val="95"/>
          <w:sz w:val="44"/>
        </w:rPr>
        <w:t>НАРКОТИЧЕСКИХ </w:t>
      </w:r>
      <w:r>
        <w:rPr>
          <w:rFonts w:ascii="DejaVu Sans" w:hAnsi="DejaVu Sans"/>
          <w:b/>
          <w:color w:val="231F20"/>
          <w:spacing w:val="-17"/>
          <w:sz w:val="44"/>
        </w:rPr>
        <w:t>ВЕЩЕСТВ</w:t>
      </w:r>
    </w:p>
    <w:p>
      <w:pPr>
        <w:pStyle w:val="BodyText"/>
        <w:rPr>
          <w:rFonts w:ascii="DejaVu Sans"/>
          <w:b/>
          <w:sz w:val="20"/>
        </w:rPr>
      </w:pPr>
    </w:p>
    <w:p>
      <w:pPr>
        <w:pStyle w:val="BodyText"/>
        <w:rPr>
          <w:rFonts w:ascii="DejaVu Sans"/>
          <w:b/>
          <w:sz w:val="20"/>
        </w:rPr>
      </w:pPr>
    </w:p>
    <w:p>
      <w:pPr>
        <w:pStyle w:val="BodyText"/>
        <w:rPr>
          <w:rFonts w:ascii="DejaVu Sans"/>
          <w:b/>
          <w:sz w:val="20"/>
        </w:rPr>
      </w:pPr>
    </w:p>
    <w:p>
      <w:pPr>
        <w:pStyle w:val="BodyText"/>
        <w:rPr>
          <w:rFonts w:ascii="DejaVu Sans"/>
          <w:b/>
          <w:sz w:val="20"/>
        </w:rPr>
      </w:pPr>
    </w:p>
    <w:p>
      <w:pPr>
        <w:pStyle w:val="BodyText"/>
        <w:rPr>
          <w:rFonts w:ascii="DejaVu Sans"/>
          <w:b/>
          <w:sz w:val="20"/>
        </w:rPr>
      </w:pPr>
    </w:p>
    <w:p>
      <w:pPr>
        <w:pStyle w:val="BodyText"/>
        <w:rPr>
          <w:rFonts w:ascii="DejaVu Sans"/>
          <w:b/>
          <w:sz w:val="20"/>
        </w:rPr>
      </w:pPr>
    </w:p>
    <w:p>
      <w:pPr>
        <w:pStyle w:val="BodyText"/>
        <w:spacing w:line="252" w:lineRule="auto" w:before="243"/>
        <w:ind w:left="105" w:right="3792" w:firstLine="164"/>
      </w:pPr>
      <w:r>
        <w:rPr>
          <w:color w:val="231F20"/>
        </w:rPr>
        <w:t>Изделие обеспечивает предварительный анализ твердых и жидких веществ, а также следов веществ на поверхностях (в том числе поверхности рук) с целью предварительного отнесения их к наркотическим</w:t>
      </w:r>
      <w:r>
        <w:rPr>
          <w:color w:val="231F20"/>
          <w:spacing w:val="-8"/>
        </w:rPr>
        <w:t> </w:t>
      </w:r>
      <w:r>
        <w:rPr>
          <w:color w:val="231F20"/>
        </w:rPr>
        <w:t>веществам.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52" w:lineRule="auto"/>
        <w:ind w:left="2985" w:right="56"/>
      </w:pPr>
      <w:r>
        <w:rPr>
          <w:color w:val="231F20"/>
        </w:rPr>
        <w:t>Выпускается в модификациях: тесты для начальной проверки наркотичечких веществ: кокаин, белый героин, коричневый героин, амфетамин, метамфетамин, метадон, кета- мин, фенциклидин, мефедрон, катинон, меткатинон, метилон, диметилтриптамин, МДПВ, ПМА/ПММА, метиопропамин, экстази, крэк и тесты на идентификацию марихуана/гашиш (НАРКО-КАСПЕР 3000)</w:t>
      </w:r>
    </w:p>
    <w:p>
      <w:pPr>
        <w:pStyle w:val="BodyText"/>
        <w:spacing w:before="8"/>
        <w:rPr>
          <w:sz w:val="25"/>
        </w:rPr>
      </w:pPr>
    </w:p>
    <w:p>
      <w:pPr>
        <w:spacing w:before="0"/>
        <w:ind w:left="6428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006242"/>
          <w:w w:val="90"/>
          <w:sz w:val="24"/>
        </w:rPr>
        <w:t>ТЕХНИЧЕСКИЕ ХАРАКТЕРИСТИКИ</w:t>
      </w:r>
    </w:p>
    <w:p>
      <w:pPr>
        <w:pStyle w:val="BodyText"/>
        <w:spacing w:before="7"/>
        <w:rPr>
          <w:rFonts w:ascii="Arial"/>
          <w:b/>
          <w:i/>
          <w:sz w:val="11"/>
        </w:rPr>
      </w:pPr>
      <w:r>
        <w:rPr/>
        <w:drawing>
          <wp:anchor distT="0" distB="0" distL="0" distR="0" allowOverlap="1" layoutInCell="1" locked="0" behindDoc="1" simplePos="0" relativeHeight="268434527">
            <wp:simplePos x="0" y="0"/>
            <wp:positionH relativeFrom="page">
              <wp:posOffset>435178</wp:posOffset>
            </wp:positionH>
            <wp:positionV relativeFrom="paragraph">
              <wp:posOffset>111953</wp:posOffset>
            </wp:positionV>
            <wp:extent cx="2847617" cy="1630775"/>
            <wp:effectExtent l="0" t="0" r="0" b="0"/>
            <wp:wrapTopAndBottom/>
            <wp:docPr id="9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617" cy="163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75.575012pt;margin-top:8.67325pt;width:314.3pt;height:122.3pt;mso-position-horizontal-relative:page;mso-position-vertical-relative:paragraph;z-index:-1024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263"/>
                    <w:gridCol w:w="2008"/>
                  </w:tblGrid>
                  <w:tr>
                    <w:trPr>
                      <w:trHeight w:val="414" w:hRule="atLeast"/>
                    </w:trPr>
                    <w:tc>
                      <w:tcPr>
                        <w:tcW w:w="4263" w:type="dxa"/>
                      </w:tcPr>
                      <w:p>
                        <w:pPr>
                          <w:pStyle w:val="TableParagraph"/>
                          <w:spacing w:before="104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Время полного анализа одного образца, не более</w:t>
                        </w:r>
                      </w:p>
                    </w:tc>
                    <w:tc>
                      <w:tcPr>
                        <w:tcW w:w="2008" w:type="dxa"/>
                      </w:tcPr>
                      <w:p>
                        <w:pPr>
                          <w:pStyle w:val="TableParagraph"/>
                          <w:spacing w:before="104"/>
                          <w:ind w:left="746" w:right="73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 мин</w:t>
                        </w:r>
                      </w:p>
                    </w:tc>
                  </w:tr>
                  <w:tr>
                    <w:trPr>
                      <w:trHeight w:val="370" w:hRule="atLeast"/>
                    </w:trPr>
                    <w:tc>
                      <w:tcPr>
                        <w:tcW w:w="4263" w:type="dxa"/>
                      </w:tcPr>
                      <w:p>
                        <w:pPr>
                          <w:pStyle w:val="TableParagraph"/>
                          <w:spacing w:before="82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Диапазон рабочих температур</w:t>
                        </w:r>
                      </w:p>
                    </w:tc>
                    <w:tc>
                      <w:tcPr>
                        <w:tcW w:w="2008" w:type="dxa"/>
                      </w:tcPr>
                      <w:p>
                        <w:pPr>
                          <w:pStyle w:val="TableParagraph"/>
                          <w:spacing w:before="82"/>
                          <w:ind w:left="227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от -10°С до +40°С.</w:t>
                        </w:r>
                      </w:p>
                    </w:tc>
                  </w:tr>
                  <w:tr>
                    <w:trPr>
                      <w:trHeight w:val="397" w:hRule="atLeast"/>
                    </w:trPr>
                    <w:tc>
                      <w:tcPr>
                        <w:tcW w:w="426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Габаритные размеры тестового модуля, мм</w:t>
                        </w:r>
                      </w:p>
                    </w:tc>
                    <w:tc>
                      <w:tcPr>
                        <w:tcW w:w="2008" w:type="dxa"/>
                      </w:tcPr>
                      <w:p>
                        <w:pPr>
                          <w:pStyle w:val="TableParagraph"/>
                          <w:ind w:left="68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92х51х25</w:t>
                        </w:r>
                      </w:p>
                    </w:tc>
                  </w:tr>
                  <w:tr>
                    <w:trPr>
                      <w:trHeight w:val="397" w:hRule="atLeast"/>
                    </w:trPr>
                    <w:tc>
                      <w:tcPr>
                        <w:tcW w:w="426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Габаритные размеры в блистере, не более мм</w:t>
                        </w:r>
                      </w:p>
                    </w:tc>
                    <w:tc>
                      <w:tcPr>
                        <w:tcW w:w="2008" w:type="dxa"/>
                      </w:tcPr>
                      <w:p>
                        <w:pPr>
                          <w:pStyle w:val="TableParagraph"/>
                          <w:ind w:left="51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190х135х37</w:t>
                        </w:r>
                      </w:p>
                    </w:tc>
                  </w:tr>
                  <w:tr>
                    <w:trPr>
                      <w:trHeight w:val="397" w:hRule="atLeast"/>
                    </w:trPr>
                    <w:tc>
                      <w:tcPr>
                        <w:tcW w:w="426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Масса тестового модуля г., не более</w:t>
                        </w:r>
                      </w:p>
                    </w:tc>
                    <w:tc>
                      <w:tcPr>
                        <w:tcW w:w="2008" w:type="dxa"/>
                      </w:tcPr>
                      <w:p>
                        <w:pPr>
                          <w:pStyle w:val="TableParagraph"/>
                          <w:ind w:left="746" w:right="73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397" w:hRule="atLeast"/>
                    </w:trPr>
                    <w:tc>
                      <w:tcPr>
                        <w:tcW w:w="426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Масса тестового модуля в блистере г., не более</w:t>
                        </w:r>
                      </w:p>
                    </w:tc>
                    <w:tc>
                      <w:tcPr>
                        <w:tcW w:w="2008" w:type="dxa"/>
                      </w:tcPr>
                      <w:p>
                        <w:pPr>
                          <w:pStyle w:val="TableParagraph"/>
                          <w:ind w:left="746" w:right="73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55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drawing>
          <wp:anchor distT="0" distB="0" distL="0" distR="0" allowOverlap="1" layoutInCell="1" locked="0" behindDoc="1" simplePos="0" relativeHeight="268434551">
            <wp:simplePos x="0" y="0"/>
            <wp:positionH relativeFrom="page">
              <wp:posOffset>435178</wp:posOffset>
            </wp:positionH>
            <wp:positionV relativeFrom="paragraph">
              <wp:posOffset>1878955</wp:posOffset>
            </wp:positionV>
            <wp:extent cx="2857287" cy="1636299"/>
            <wp:effectExtent l="0" t="0" r="0" b="0"/>
            <wp:wrapTopAndBottom/>
            <wp:docPr id="11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287" cy="1636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9.178986pt;margin-top:148.422348pt;width:77.4pt;height:135.550pt;mso-position-horizontal-relative:page;mso-position-vertical-relative:paragraph;z-index:-880;mso-wrap-distance-left:0;mso-wrap-distance-right:0" coordorigin="5984,2968" coordsize="1548,2711">
            <v:rect style="position:absolute;left:5983;top:2971;width:1548;height:2708" filled="true" fillcolor="#231f20" stroked="false">
              <v:fill opacity="26214f" type="solid"/>
            </v:rect>
            <v:shape style="position:absolute;left:6154;top:2968;width:1369;height:2542" type="#_x0000_t75" stroked="false">
              <v:imagedata r:id="rId14" o:title=""/>
            </v:shape>
            <w10:wrap type="topAndBottom"/>
          </v:group>
        </w:pict>
      </w:r>
      <w:r>
        <w:rPr/>
        <w:pict>
          <v:group style="position:absolute;margin-left:388.196014pt;margin-top:147.519257pt;width:82.4pt;height:137.2pt;mso-position-horizontal-relative:page;mso-position-vertical-relative:paragraph;z-index:-856;mso-wrap-distance-left:0;mso-wrap-distance-right:0" coordorigin="7764,2950" coordsize="1648,2744">
            <v:rect style="position:absolute;left:7763;top:2950;width:1635;height:2744" filled="true" fillcolor="#231f20" stroked="false">
              <v:fill opacity="26214f" type="solid"/>
            </v:rect>
            <v:shape style="position:absolute;left:7867;top:2958;width:1544;height:2552" type="#_x0000_t75" stroked="false">
              <v:imagedata r:id="rId15" o:title=""/>
            </v:shape>
            <w10:wrap type="topAndBottom"/>
          </v:group>
        </w:pict>
      </w:r>
      <w:r>
        <w:rPr/>
        <w:pict>
          <v:group style="position:absolute;margin-left:479.17099pt;margin-top:147.950256pt;width:76pt;height:138.3pt;mso-position-horizontal-relative:page;mso-position-vertical-relative:paragraph;z-index:-832;mso-wrap-distance-left:0;mso-wrap-distance-right:0" coordorigin="9583,2959" coordsize="1520,2766">
            <v:rect style="position:absolute;left:9583;top:2974;width:1520;height:2751" filled="true" fillcolor="#231f20" stroked="false">
              <v:fill opacity="26214f" type="solid"/>
            </v:rect>
            <v:shape style="position:absolute;left:9723;top:2959;width:1375;height:2552" type="#_x0000_t75" stroked="false">
              <v:imagedata r:id="rId1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1" simplePos="0" relativeHeight="268434647">
            <wp:simplePos x="0" y="0"/>
            <wp:positionH relativeFrom="page">
              <wp:posOffset>659607</wp:posOffset>
            </wp:positionH>
            <wp:positionV relativeFrom="paragraph">
              <wp:posOffset>3727327</wp:posOffset>
            </wp:positionV>
            <wp:extent cx="6442897" cy="735234"/>
            <wp:effectExtent l="0" t="0" r="0" b="0"/>
            <wp:wrapTopAndBottom/>
            <wp:docPr id="13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2897" cy="735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Arial"/>
          <w:b/>
          <w:i/>
          <w:sz w:val="11"/>
        </w:rPr>
      </w:pPr>
    </w:p>
    <w:p>
      <w:pPr>
        <w:pStyle w:val="BodyText"/>
        <w:spacing w:before="8"/>
        <w:rPr>
          <w:rFonts w:ascii="Arial"/>
          <w:b/>
          <w:i/>
          <w:sz w:val="6"/>
        </w:rPr>
      </w:pPr>
    </w:p>
    <w:sectPr>
      <w:pgSz w:w="12250" w:h="17180"/>
      <w:pgMar w:top="520" w:bottom="0" w:left="580" w:right="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ejaVu Sans">
    <w:altName w:val="DejaVu Sans"/>
    <w:charset w:val="0"/>
    <w:family w:val="swiss"/>
    <w:pitch w:val="variable"/>
  </w:font>
  <w:font w:name="Liberation Sans Narrow">
    <w:altName w:val="Liberation Sans Narrow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iberation Sans Narrow" w:hAnsi="Liberation Sans Narrow" w:eastAsia="Liberation Sans Narrow" w:cs="Liberation Sans Narrow"/>
    </w:rPr>
  </w:style>
  <w:style w:styleId="BodyText" w:type="paragraph">
    <w:name w:val="Body Text"/>
    <w:basedOn w:val="Normal"/>
    <w:uiPriority w:val="1"/>
    <w:qFormat/>
    <w:pPr/>
    <w:rPr>
      <w:rFonts w:ascii="Liberation Sans Narrow" w:hAnsi="Liberation Sans Narrow" w:eastAsia="Liberation Sans Narrow" w:cs="Liberation Sans Narrow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82"/>
      <w:ind w:left="1305" w:right="1531" w:hanging="1"/>
      <w:jc w:val="center"/>
      <w:outlineLvl w:val="1"/>
    </w:pPr>
    <w:rPr>
      <w:rFonts w:ascii="DejaVu Sans" w:hAnsi="DejaVu Sans" w:eastAsia="DejaVu Sans" w:cs="DejaVu Sans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>
      <w:spacing w:before="95"/>
      <w:ind w:left="5"/>
    </w:pPr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2019-09-30T10:28:27Z</dcterms:created>
  <dcterms:modified xsi:type="dcterms:W3CDTF">2019-09-30T10:28:27Z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2017-02-15T00:00:00Z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2019-09-30T00:00:00Z</vt:filetime>
  </property>
</Properties>
</file>